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 xml:space="preserve">Анкета для регистрации в Партнерской программе</w:t>
      </w:r>
    </w:p>
    <w:tbl>
      <w:tblPr>
        <w:tblW w:w="9638" w:type="dxa"/>
        <w:tblInd w:w="53" w:type="dxa"/>
        <w:tblBorders>
          <w:left w:val="single" w:color="000001" w:sz="2" w:space="0"/>
          <w:top w:val="single" w:color="000001" w:sz="2" w:space="0"/>
          <w:bottom w:val="single" w:color="000001" w:sz="2" w:space="0"/>
          <w:insideH w:val="single" w:color="000001" w:sz="2" w:space="0"/>
        </w:tblBorders>
        <w:tblCellMar>
          <w:left w:w="51" w:type="dxa"/>
          <w:top w:w="55" w:type="dxa"/>
          <w:right w:w="55" w:type="dxa"/>
          <w:bottom w:w="55" w:type="dxa"/>
        </w:tblCellMar>
      </w:tblPr>
      <w:tblGrid>
        <w:gridCol w:w="4818"/>
        <w:gridCol w:w="4819"/>
      </w:tblGrid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Полное наименование организации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Краткое наименование организации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Адрес Юридический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Адрес фактический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ИНН организации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ОГРН организации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Генеральный Директор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Главный бухгалтер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Сфера деятельности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Контактное лицо (ФИО, должность)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- электронная почта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- контактный телефон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8" w:type="dxa"/>
            <w:vAlign w:val="center"/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Сайт </w:t>
            </w:r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Mar>
              <w:left w:w="51" w:type="dxa"/>
            </w:tcMar>
            <w:tcW w:w="4819" w:type="dxa"/>
            <w:vAlign w:val="center"/>
          </w:tcPr>
          <w:p>
            <w:pPr>
              <w:pStyle w:val="Style19"/>
              <w:rPr>
                <w:rFonts w:ascii="sans-serif" w:hAnsi="sans-serif"/>
                <w:sz w:val="26"/>
                <w:szCs w:val="26"/>
              </w:rPr>
            </w:pPr>
            <w:r>
              <w:rPr>
                <w:rFonts w:ascii="sans-serif" w:hAnsi="sans-serif"/>
                <w:sz w:val="26"/>
                <w:szCs w:val="26"/>
              </w:rPr>
            </w:r>
          </w:p>
        </w:tc>
      </w:tr>
    </w:tbl>
    <w:p>
      <w:pPr>
        <w:pStyle w:val="Normal"/>
      </w:pPr>
      <w:r/>
    </w:p>
    <w:sectPr>
      <w:type w:val="nextPage"/>
      <w:pgSz w:w="11906" w:h="16838"/>
      <w:pgMar w:top="1134" w:right="1134" w:bottom="1134" w:left="1134" w:gutter="0" w:header="0" w:foo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eeSans">
    <w:panose1 w:val="020B0604020202020204"/>
  </w:font>
  <w:font w:name="PT Sans">
    <w:panose1 w:val="020B0503020203020204"/>
  </w:font>
  <w:font w:name="Tahoma">
    <w:panose1 w:val="020B0604030504040204"/>
  </w:font>
  <w:font w:name="sans-serif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9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hAnsi="PT Sans" w:cs="FreeSans" w:eastAsia="Tahoma"/>
        <w:sz w:val="20"/>
        <w:szCs w:val="24"/>
        <w:lang w:val="ru-RU" w:bidi="hi-IN" w:eastAsia="zh-CN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rPr>
      <w:rFonts w:ascii="PT Sans" w:hAnsi="PT Sans" w:cs="FreeSans" w:eastAsia="Tahoma"/>
      <w:color w:val="00000A"/>
      <w:sz w:val="24"/>
      <w:szCs w:val="24"/>
      <w:lang w:val="ru-RU" w:bidi="hi-IN" w:eastAsia="zh-CN"/>
    </w:rPr>
    <w:pPr>
      <w:jc w:val="left"/>
      <w:widowControl w:val="off"/>
    </w:pPr>
  </w:style>
  <w:style w:type="paragraph" w:styleId="1">
    <w:name w:val="Заголовок 1"/>
    <w:basedOn w:val="Style11"/>
    <w:rPr>
      <w:b/>
      <w:bCs/>
      <w:sz w:val="36"/>
      <w:szCs w:val="36"/>
    </w:rPr>
    <w:pPr>
      <w:spacing w:after="120" w:before="240"/>
    </w:pPr>
  </w:style>
  <w:style w:type="paragraph" w:styleId="2">
    <w:name w:val="Заголовок 2"/>
    <w:basedOn w:val="Style11"/>
    <w:rPr>
      <w:b/>
      <w:bCs/>
      <w:sz w:val="32"/>
      <w:szCs w:val="32"/>
    </w:rPr>
    <w:pPr>
      <w:spacing w:after="120" w:before="200"/>
    </w:pPr>
  </w:style>
  <w:style w:type="paragraph" w:styleId="3">
    <w:name w:val="Заголовок 3"/>
    <w:basedOn w:val="Style11"/>
    <w:rPr>
      <w:b/>
      <w:bCs/>
      <w:sz w:val="28"/>
      <w:szCs w:val="28"/>
    </w:rPr>
    <w:pPr>
      <w:spacing w:after="120" w:before="140"/>
    </w:pPr>
  </w:style>
  <w:style w:type="paragraph" w:styleId="Style11">
    <w:name w:val="Заголовок"/>
    <w:basedOn w:val="Normal"/>
    <w:next w:val="Style12"/>
    <w:qFormat/>
    <w:rPr>
      <w:rFonts w:ascii="PT Sans" w:hAnsi="PT Sans" w:cs="FreeSans" w:eastAsia="Tahoma"/>
      <w:sz w:val="28"/>
      <w:szCs w:val="28"/>
    </w:rPr>
    <w:pPr>
      <w:keepNext/>
      <w:spacing w:after="120" w:before="240"/>
    </w:pPr>
  </w:style>
  <w:style w:type="paragraph" w:styleId="Style12">
    <w:name w:val="Основной текст"/>
    <w:basedOn w:val="Normal"/>
    <w:pPr>
      <w:spacing w:lineRule="auto" w:line="288" w:after="140" w:before="0"/>
    </w:pPr>
  </w:style>
  <w:style w:type="paragraph" w:styleId="Style13">
    <w:name w:val="Список"/>
    <w:basedOn w:val="Style12"/>
    <w:rPr>
      <w:rFonts w:ascii="PT Sans" w:hAnsi="PT Sans" w:cs="FreeSans"/>
    </w:rPr>
  </w:style>
  <w:style w:type="paragraph" w:styleId="Style14">
    <w:name w:val="Название"/>
    <w:basedOn w:val="Normal"/>
    <w:rPr>
      <w:rFonts w:ascii="PT Sans" w:hAnsi="PT Sans" w:cs="FreeSans"/>
      <w:i/>
      <w:iCs/>
      <w:sz w:val="24"/>
      <w:szCs w:val="24"/>
    </w:rPr>
    <w:pPr>
      <w:spacing w:after="120" w:before="120"/>
    </w:pPr>
  </w:style>
  <w:style w:type="paragraph" w:styleId="Style15">
    <w:name w:val="Указатель"/>
    <w:basedOn w:val="Normal"/>
    <w:qFormat/>
    <w:rPr>
      <w:rFonts w:ascii="PT Sans" w:hAnsi="PT Sans" w:cs="FreeSans"/>
    </w:rPr>
  </w:style>
  <w:style w:type="paragraph" w:styleId="Style16">
    <w:name w:val="Блочная цитата"/>
    <w:basedOn w:val="Normal"/>
    <w:qFormat/>
    <w:pPr>
      <w:ind w:left="567" w:right="567" w:hanging="0"/>
      <w:spacing w:after="283" w:before="0"/>
    </w:pPr>
  </w:style>
  <w:style w:type="paragraph" w:styleId="Style17">
    <w:name w:val="Заглавие"/>
    <w:basedOn w:val="Style11"/>
    <w:rPr>
      <w:b/>
      <w:bCs/>
      <w:sz w:val="56"/>
      <w:szCs w:val="56"/>
    </w:rPr>
    <w:pPr>
      <w:jc w:val="center"/>
    </w:pPr>
  </w:style>
  <w:style w:type="paragraph" w:styleId="Style18">
    <w:name w:val="Подзаголовок"/>
    <w:basedOn w:val="Style11"/>
    <w:rPr>
      <w:sz w:val="36"/>
      <w:szCs w:val="36"/>
    </w:rPr>
    <w:pPr>
      <w:jc w:val="center"/>
      <w:spacing w:after="120" w:before="60"/>
    </w:pPr>
  </w:style>
  <w:style w:type="paragraph" w:styleId="Style19">
    <w:name w:val="Содержимое таблицы"/>
    <w:basedOn w:val="Normal"/>
    <w:qFormat/>
  </w:style>
  <w:style w:type="paragraph" w:styleId="Style20">
    <w:name w:val="Заголовок таблицы"/>
    <w:basedOn w:val="Style19"/>
    <w:qFormat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